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B7" w:rsidRDefault="00F92CB7" w:rsidP="00F171D6">
      <w:pPr>
        <w:spacing w:after="0"/>
        <w:jc w:val="center"/>
        <w:rPr>
          <w:b/>
          <w:sz w:val="36"/>
          <w:szCs w:val="36"/>
        </w:rPr>
      </w:pPr>
      <w:r w:rsidRPr="00F92CB7">
        <w:rPr>
          <w:b/>
          <w:sz w:val="36"/>
          <w:szCs w:val="36"/>
        </w:rPr>
        <w:t>Titration Curves of Strong and Weak Acids and Bases</w:t>
      </w:r>
      <w:r w:rsidR="003C6AB8">
        <w:rPr>
          <w:b/>
          <w:sz w:val="36"/>
          <w:szCs w:val="36"/>
        </w:rPr>
        <w:t xml:space="preserve"> </w:t>
      </w:r>
      <w:r w:rsidR="003C6AB8" w:rsidRPr="003C6AB8">
        <w:rPr>
          <w:b/>
          <w:szCs w:val="36"/>
        </w:rPr>
        <w:t>(Revised, 5-23-18)</w:t>
      </w:r>
    </w:p>
    <w:p w:rsidR="00F92CB7" w:rsidRPr="003C6AB8" w:rsidRDefault="003C6AB8" w:rsidP="003C6AB8">
      <w:pPr>
        <w:tabs>
          <w:tab w:val="left" w:pos="8640"/>
        </w:tabs>
        <w:spacing w:after="0"/>
        <w:rPr>
          <w:b/>
          <w:sz w:val="14"/>
          <w:szCs w:val="20"/>
        </w:rPr>
      </w:pPr>
      <w:r w:rsidRPr="003C6AB8">
        <w:rPr>
          <w:b/>
          <w:sz w:val="14"/>
          <w:szCs w:val="20"/>
        </w:rPr>
        <w:tab/>
      </w:r>
    </w:p>
    <w:p w:rsidR="00F92CB7" w:rsidRPr="00832BB5" w:rsidRDefault="00F92CB7" w:rsidP="00F92CB7">
      <w:pPr>
        <w:spacing w:after="0"/>
        <w:rPr>
          <w:b/>
          <w:i/>
          <w:sz w:val="28"/>
          <w:szCs w:val="28"/>
        </w:rPr>
      </w:pPr>
      <w:r w:rsidRPr="00832BB5">
        <w:rPr>
          <w:b/>
          <w:i/>
          <w:sz w:val="28"/>
          <w:szCs w:val="28"/>
        </w:rPr>
        <w:t>Objectives:</w:t>
      </w:r>
    </w:p>
    <w:p w:rsidR="00F92CB7" w:rsidRDefault="00F92CB7" w:rsidP="00F92CB7">
      <w:pPr>
        <w:spacing w:after="0"/>
      </w:pPr>
      <w:r>
        <w:t xml:space="preserve">*to become familiar with the </w:t>
      </w:r>
      <w:proofErr w:type="spellStart"/>
      <w:r>
        <w:t>Vernier</w:t>
      </w:r>
      <w:proofErr w:type="spellEnd"/>
      <w:r>
        <w:t xml:space="preserve"> pH probe and accompanying software, using an “events with entry” file to generate titration curves,</w:t>
      </w:r>
    </w:p>
    <w:p w:rsidR="00832BB5" w:rsidRDefault="00F92CB7" w:rsidP="00F92CB7">
      <w:pPr>
        <w:spacing w:after="0"/>
      </w:pPr>
      <w:r>
        <w:t xml:space="preserve">*to titrate a strong acid with a strong base, a weak acid with a strong base, a strong acid with a weak base, and a weak acid with a weak base, </w:t>
      </w:r>
    </w:p>
    <w:p w:rsidR="00F92CB7" w:rsidRDefault="00832BB5" w:rsidP="00F92CB7">
      <w:pPr>
        <w:spacing w:after="0"/>
      </w:pPr>
      <w:r>
        <w:t xml:space="preserve">*to understand the difference between and compare the </w:t>
      </w:r>
      <w:proofErr w:type="spellStart"/>
      <w:r>
        <w:t>occurance</w:t>
      </w:r>
      <w:proofErr w:type="spellEnd"/>
      <w:r>
        <w:t xml:space="preserve"> of the equivalence point and the endpoint in your titrations, </w:t>
      </w:r>
      <w:r w:rsidR="00F92CB7">
        <w:t>and</w:t>
      </w:r>
    </w:p>
    <w:p w:rsidR="00F92CB7" w:rsidRDefault="00F92CB7" w:rsidP="00F92CB7">
      <w:pPr>
        <w:spacing w:after="0"/>
      </w:pPr>
      <w:proofErr w:type="gramStart"/>
      <w:r>
        <w:t>*to compare the appearance and characteristics of the titrations curves for these four combinations.</w:t>
      </w:r>
      <w:proofErr w:type="gramEnd"/>
    </w:p>
    <w:p w:rsidR="00F92CB7" w:rsidRPr="003C6AB8" w:rsidRDefault="00F92CB7" w:rsidP="00F92CB7">
      <w:pPr>
        <w:spacing w:after="0"/>
        <w:rPr>
          <w:sz w:val="18"/>
        </w:rPr>
      </w:pPr>
    </w:p>
    <w:p w:rsidR="00F92CB7" w:rsidRPr="00832BB5" w:rsidRDefault="00F92CB7" w:rsidP="00F92CB7">
      <w:pPr>
        <w:spacing w:after="0"/>
        <w:rPr>
          <w:b/>
          <w:i/>
          <w:sz w:val="28"/>
          <w:szCs w:val="28"/>
        </w:rPr>
      </w:pPr>
      <w:r w:rsidRPr="00832BB5">
        <w:rPr>
          <w:b/>
          <w:i/>
          <w:sz w:val="28"/>
          <w:szCs w:val="28"/>
        </w:rPr>
        <w:t>Procedure:</w:t>
      </w:r>
    </w:p>
    <w:p w:rsidR="00F92CB7" w:rsidRDefault="00F92CB7" w:rsidP="00F92CB7">
      <w:pPr>
        <w:pStyle w:val="ListParagraph"/>
        <w:numPr>
          <w:ilvl w:val="0"/>
          <w:numId w:val="1"/>
        </w:numPr>
        <w:spacing w:after="0"/>
      </w:pPr>
      <w:r>
        <w:t xml:space="preserve">Prepare a </w:t>
      </w:r>
      <w:proofErr w:type="spellStart"/>
      <w:r>
        <w:t>buret</w:t>
      </w:r>
      <w:proofErr w:type="spellEnd"/>
      <w:r>
        <w:t xml:space="preserve"> for titration using 0.10 M </w:t>
      </w:r>
      <w:proofErr w:type="spellStart"/>
      <w:r>
        <w:t>NaOH</w:t>
      </w:r>
      <w:proofErr w:type="spellEnd"/>
      <w:r>
        <w:t xml:space="preserve">. (Fill the </w:t>
      </w:r>
      <w:proofErr w:type="spellStart"/>
      <w:r>
        <w:t>buret</w:t>
      </w:r>
      <w:proofErr w:type="spellEnd"/>
      <w:r>
        <w:t xml:space="preserve"> above the zero mark, </w:t>
      </w:r>
      <w:proofErr w:type="gramStart"/>
      <w:r>
        <w:t>then</w:t>
      </w:r>
      <w:proofErr w:type="gramEnd"/>
      <w:r>
        <w:t xml:space="preserve"> drain some </w:t>
      </w:r>
      <w:proofErr w:type="spellStart"/>
      <w:r>
        <w:t>titrant</w:t>
      </w:r>
      <w:proofErr w:type="spellEnd"/>
      <w:r>
        <w:t xml:space="preserve"> into a waste flask in order to fill the tip of the </w:t>
      </w:r>
      <w:proofErr w:type="spellStart"/>
      <w:r>
        <w:t>buret</w:t>
      </w:r>
      <w:proofErr w:type="spellEnd"/>
      <w:r>
        <w:t xml:space="preserve">.) Record the initial volume on the </w:t>
      </w:r>
      <w:proofErr w:type="spellStart"/>
      <w:r>
        <w:t>buret</w:t>
      </w:r>
      <w:proofErr w:type="spellEnd"/>
      <w:r>
        <w:t>. (Since this</w:t>
      </w:r>
      <w:r w:rsidR="00670BB5">
        <w:t xml:space="preserve"> is an </w:t>
      </w:r>
      <w:proofErr w:type="gramStart"/>
      <w:r w:rsidR="00670BB5">
        <w:t>events</w:t>
      </w:r>
      <w:proofErr w:type="gramEnd"/>
      <w:r w:rsidR="00670BB5">
        <w:t xml:space="preserve"> with entry lab, it will be easiest to start your </w:t>
      </w:r>
      <w:proofErr w:type="spellStart"/>
      <w:r w:rsidR="00670BB5">
        <w:t>buret</w:t>
      </w:r>
      <w:proofErr w:type="spellEnd"/>
      <w:r w:rsidR="00670BB5">
        <w:t xml:space="preserve"> at zero.)</w:t>
      </w:r>
    </w:p>
    <w:p w:rsidR="00775973" w:rsidRDefault="00775973" w:rsidP="00775973">
      <w:pPr>
        <w:pStyle w:val="ListParagraph"/>
        <w:numPr>
          <w:ilvl w:val="0"/>
          <w:numId w:val="1"/>
        </w:numPr>
        <w:spacing w:after="0"/>
      </w:pPr>
      <w:r>
        <w:t xml:space="preserve">Plug in the power supply chord to the </w:t>
      </w:r>
      <w:proofErr w:type="spellStart"/>
      <w:r>
        <w:t>LabPro</w:t>
      </w:r>
      <w:proofErr w:type="spellEnd"/>
      <w:r>
        <w:t xml:space="preserve"> interface, connect the </w:t>
      </w:r>
      <w:proofErr w:type="spellStart"/>
      <w:r>
        <w:t>LabPro</w:t>
      </w:r>
      <w:proofErr w:type="spellEnd"/>
      <w:r>
        <w:t xml:space="preserve"> to the laptop using the USB cable and connect the pH probe to the </w:t>
      </w:r>
      <w:proofErr w:type="spellStart"/>
      <w:r>
        <w:t>LabPro</w:t>
      </w:r>
      <w:proofErr w:type="spellEnd"/>
      <w:r>
        <w:t xml:space="preserve">. </w:t>
      </w:r>
      <w:r w:rsidRPr="00775973">
        <w:rPr>
          <w:b/>
        </w:rPr>
        <w:t>NOTE:</w:t>
      </w:r>
      <w:r>
        <w:t xml:space="preserve"> The pH probe must be stored in a buffer solution to keep it from drying out. If ion selective electrodes are allowed to dry out, they will most likely be ruined, so always store them in their storage solution in an </w:t>
      </w:r>
      <w:r w:rsidRPr="00832BB5">
        <w:rPr>
          <w:b/>
          <w:u w:val="single"/>
        </w:rPr>
        <w:t>upright</w:t>
      </w:r>
      <w:r>
        <w:t xml:space="preserve"> position.</w:t>
      </w:r>
      <w:r w:rsidR="00832BB5">
        <w:t>)</w:t>
      </w:r>
    </w:p>
    <w:p w:rsidR="00670BB5" w:rsidRDefault="00670BB5" w:rsidP="00F92CB7">
      <w:pPr>
        <w:pStyle w:val="ListParagraph"/>
        <w:numPr>
          <w:ilvl w:val="0"/>
          <w:numId w:val="1"/>
        </w:numPr>
        <w:spacing w:after="0"/>
      </w:pPr>
      <w:r>
        <w:t>Open the</w:t>
      </w:r>
      <w:r w:rsidR="00B13FA5">
        <w:t xml:space="preserve"> </w:t>
      </w:r>
      <w:r w:rsidR="0007162D">
        <w:rPr>
          <w:b/>
          <w:i/>
        </w:rPr>
        <w:t>Acid-Base Titration</w:t>
      </w:r>
      <w:r w:rsidR="00B13FA5">
        <w:t xml:space="preserve"> file (Chemistry with </w:t>
      </w:r>
      <w:proofErr w:type="spellStart"/>
      <w:r w:rsidR="00B13FA5">
        <w:t>Vernier</w:t>
      </w:r>
      <w:proofErr w:type="spellEnd"/>
      <w:r w:rsidR="00B13FA5">
        <w:t xml:space="preserve">, </w:t>
      </w:r>
      <w:r w:rsidR="00B13FA5" w:rsidRPr="0007162D">
        <w:rPr>
          <w:b/>
        </w:rPr>
        <w:t>#</w:t>
      </w:r>
      <w:r w:rsidR="0007162D" w:rsidRPr="0007162D">
        <w:rPr>
          <w:b/>
        </w:rPr>
        <w:t>24a</w:t>
      </w:r>
      <w:r w:rsidR="00B13FA5">
        <w:t>) on your computer.</w:t>
      </w:r>
    </w:p>
    <w:p w:rsidR="00775973" w:rsidRDefault="00775973">
      <w:pPr>
        <w:pStyle w:val="ListParagraph"/>
        <w:numPr>
          <w:ilvl w:val="0"/>
          <w:numId w:val="1"/>
        </w:numPr>
        <w:spacing w:after="0"/>
      </w:pPr>
      <w:r>
        <w:t xml:space="preserve">Precisely measure about 8 </w:t>
      </w:r>
      <w:proofErr w:type="spellStart"/>
      <w:r>
        <w:t>mL</w:t>
      </w:r>
      <w:proofErr w:type="spellEnd"/>
      <w:r>
        <w:t xml:space="preserve"> of </w:t>
      </w:r>
      <w:proofErr w:type="spellStart"/>
      <w:r>
        <w:t>HCl</w:t>
      </w:r>
      <w:proofErr w:type="spellEnd"/>
      <w:r>
        <w:t xml:space="preserve"> into a 250 </w:t>
      </w:r>
      <w:proofErr w:type="spellStart"/>
      <w:r>
        <w:t>mL</w:t>
      </w:r>
      <w:proofErr w:type="spellEnd"/>
      <w:r>
        <w:t xml:space="preserve"> beaker. Add about 50 </w:t>
      </w:r>
      <w:proofErr w:type="spellStart"/>
      <w:r>
        <w:t>mL</w:t>
      </w:r>
      <w:proofErr w:type="spellEnd"/>
      <w:r>
        <w:t xml:space="preserve"> of distilled water and 3 drops of phenolphthalein to the beaker. (NOTE: Although adding water changes the concentration of the acid, it does NOT change the number of moles of acid, nor the initial volume, so therefore, the titration is unaffected.)</w:t>
      </w:r>
    </w:p>
    <w:p w:rsidR="00775973" w:rsidRDefault="00775973">
      <w:pPr>
        <w:pStyle w:val="ListParagraph"/>
        <w:numPr>
          <w:ilvl w:val="0"/>
          <w:numId w:val="1"/>
        </w:numPr>
        <w:spacing w:after="0"/>
      </w:pPr>
      <w:r>
        <w:t xml:space="preserve">Set the beaker of </w:t>
      </w:r>
      <w:proofErr w:type="spellStart"/>
      <w:r>
        <w:t>analyte</w:t>
      </w:r>
      <w:proofErr w:type="spellEnd"/>
      <w:r>
        <w:t xml:space="preserve"> on a magnetic stirring base beneath your </w:t>
      </w:r>
      <w:proofErr w:type="spellStart"/>
      <w:r>
        <w:t>buret</w:t>
      </w:r>
      <w:proofErr w:type="spellEnd"/>
      <w:r>
        <w:t xml:space="preserve"> and add a magnetic stirring bar.</w:t>
      </w:r>
    </w:p>
    <w:p w:rsidR="00775973" w:rsidRDefault="00775973">
      <w:pPr>
        <w:pStyle w:val="ListParagraph"/>
        <w:numPr>
          <w:ilvl w:val="0"/>
          <w:numId w:val="1"/>
        </w:numPr>
        <w:spacing w:after="0"/>
      </w:pPr>
      <w:r>
        <w:t xml:space="preserve">Remove the pH probe from its storage solution by loosening the compression cap and sliding the probe out of its container. </w:t>
      </w:r>
      <w:r w:rsidR="0007162D">
        <w:t xml:space="preserve">Set the storage container aside in a location where you will not knock it over and spill the storage buffer. </w:t>
      </w:r>
      <w:r>
        <w:t xml:space="preserve">Rinse the probe with distilled water (use a squeeze bottle) and clamp the probe to your utility pole so that the probe is held upright in the beaker containing the </w:t>
      </w:r>
      <w:proofErr w:type="spellStart"/>
      <w:r>
        <w:t>analyte</w:t>
      </w:r>
      <w:proofErr w:type="spellEnd"/>
      <w:r>
        <w:t>.</w:t>
      </w:r>
      <w:r w:rsidR="00A23A5A">
        <w:t xml:space="preserve"> Be sure the pH probe is off to the side and turn on the magnetic stirrer.</w:t>
      </w:r>
    </w:p>
    <w:p w:rsidR="00775973" w:rsidRDefault="00775973">
      <w:pPr>
        <w:pStyle w:val="ListParagraph"/>
        <w:numPr>
          <w:ilvl w:val="0"/>
          <w:numId w:val="1"/>
        </w:numPr>
        <w:spacing w:after="0"/>
      </w:pPr>
      <w:r>
        <w:t>Click</w:t>
      </w:r>
      <w:r w:rsidR="007862A4">
        <w:t xml:space="preserve"> collect on the computer screen.</w:t>
      </w:r>
    </w:p>
    <w:p w:rsidR="007862A4" w:rsidRDefault="007862A4">
      <w:pPr>
        <w:pStyle w:val="ListParagraph"/>
        <w:numPr>
          <w:ilvl w:val="0"/>
          <w:numId w:val="1"/>
        </w:numPr>
        <w:spacing w:after="0"/>
      </w:pPr>
      <w:r>
        <w:t xml:space="preserve">When the pH reading on the computer screen settles somewhat, click the KEEP button on the computer screen, and enter the </w:t>
      </w:r>
      <w:r w:rsidR="00A23A5A">
        <w:t xml:space="preserve">initial </w:t>
      </w:r>
      <w:r>
        <w:t xml:space="preserve">volume </w:t>
      </w:r>
      <w:r w:rsidR="00A23A5A">
        <w:t xml:space="preserve">as </w:t>
      </w:r>
      <w:r w:rsidR="00A23A5A" w:rsidRPr="00A23A5A">
        <w:rPr>
          <w:b/>
          <w:i/>
        </w:rPr>
        <w:t>zero</w:t>
      </w:r>
      <w:r w:rsidR="00A23A5A">
        <w:t xml:space="preserve"> </w:t>
      </w:r>
      <w:r>
        <w:t>when prompted to do so.</w:t>
      </w:r>
      <w:r w:rsidR="00A23A5A">
        <w:t xml:space="preserve"> (Even if the </w:t>
      </w:r>
      <w:proofErr w:type="spellStart"/>
      <w:r w:rsidR="00A23A5A">
        <w:t>buret</w:t>
      </w:r>
      <w:proofErr w:type="spellEnd"/>
      <w:r w:rsidR="00A23A5A">
        <w:t xml:space="preserve"> is not reading zero at this point, you enter zero because you have not added any </w:t>
      </w:r>
      <w:proofErr w:type="spellStart"/>
      <w:r w:rsidR="00A23A5A">
        <w:t>titrant</w:t>
      </w:r>
      <w:proofErr w:type="spellEnd"/>
      <w:r w:rsidR="00A23A5A">
        <w:t xml:space="preserve"> to the </w:t>
      </w:r>
      <w:proofErr w:type="spellStart"/>
      <w:r w:rsidR="00A23A5A">
        <w:t>analyte</w:t>
      </w:r>
      <w:proofErr w:type="spellEnd"/>
      <w:r w:rsidR="00A23A5A">
        <w:t xml:space="preserve"> yet.</w:t>
      </w:r>
    </w:p>
    <w:p w:rsidR="007862A4" w:rsidRDefault="00A23A5A">
      <w:pPr>
        <w:pStyle w:val="ListParagraph"/>
        <w:numPr>
          <w:ilvl w:val="0"/>
          <w:numId w:val="1"/>
        </w:numPr>
        <w:spacing w:after="0"/>
      </w:pPr>
      <w:r>
        <w:t>S</w:t>
      </w:r>
      <w:r w:rsidR="007862A4">
        <w:t xml:space="preserve">lowly add enough </w:t>
      </w:r>
      <w:proofErr w:type="spellStart"/>
      <w:r w:rsidR="007862A4">
        <w:t>titrant</w:t>
      </w:r>
      <w:proofErr w:type="spellEnd"/>
      <w:r w:rsidR="007862A4">
        <w:t xml:space="preserve"> to the </w:t>
      </w:r>
      <w:proofErr w:type="spellStart"/>
      <w:r w:rsidR="007862A4">
        <w:t>analyte</w:t>
      </w:r>
      <w:proofErr w:type="spellEnd"/>
      <w:r w:rsidR="007862A4">
        <w:t xml:space="preserve"> beaker to raise the pH by about 0.15 units. Click Keep and record the new volume.</w:t>
      </w:r>
      <w:r w:rsidRPr="00A23A5A">
        <w:t xml:space="preserve"> </w:t>
      </w:r>
      <w:r>
        <w:t xml:space="preserve">(If the initial </w:t>
      </w:r>
      <w:proofErr w:type="spellStart"/>
      <w:r w:rsidR="0007162D">
        <w:t>buret</w:t>
      </w:r>
      <w:proofErr w:type="spellEnd"/>
      <w:r w:rsidR="0007162D">
        <w:t xml:space="preserve"> </w:t>
      </w:r>
      <w:r>
        <w:t xml:space="preserve">reading was </w:t>
      </w:r>
      <w:r w:rsidRPr="00A23A5A">
        <w:rPr>
          <w:b/>
          <w:i/>
        </w:rPr>
        <w:t>not zero</w:t>
      </w:r>
      <w:r>
        <w:t xml:space="preserve">, be sure to enter the </w:t>
      </w:r>
      <w:r w:rsidRPr="0007162D">
        <w:rPr>
          <w:b/>
          <w:i/>
        </w:rPr>
        <w:t>volume of</w:t>
      </w:r>
      <w:r>
        <w:t xml:space="preserve"> </w:t>
      </w:r>
      <w:proofErr w:type="spellStart"/>
      <w:r w:rsidRPr="00A23A5A">
        <w:rPr>
          <w:b/>
          <w:i/>
        </w:rPr>
        <w:t>titrant</w:t>
      </w:r>
      <w:proofErr w:type="spellEnd"/>
      <w:r w:rsidRPr="00A23A5A">
        <w:rPr>
          <w:b/>
          <w:i/>
        </w:rPr>
        <w:t xml:space="preserve"> dispensed</w:t>
      </w:r>
      <w:r>
        <w:t xml:space="preserve"> by entering the </w:t>
      </w:r>
      <w:r w:rsidRPr="00A23A5A">
        <w:rPr>
          <w:b/>
          <w:i/>
        </w:rPr>
        <w:t>difference</w:t>
      </w:r>
      <w:r>
        <w:t xml:space="preserve"> between the current </w:t>
      </w:r>
      <w:proofErr w:type="spellStart"/>
      <w:r>
        <w:t>buret</w:t>
      </w:r>
      <w:proofErr w:type="spellEnd"/>
      <w:r>
        <w:t xml:space="preserve"> reading and the initial </w:t>
      </w:r>
      <w:proofErr w:type="spellStart"/>
      <w:r>
        <w:t>buret</w:t>
      </w:r>
      <w:proofErr w:type="spellEnd"/>
      <w:r>
        <w:t xml:space="preserve"> reading.)</w:t>
      </w:r>
    </w:p>
    <w:p w:rsidR="007862A4" w:rsidRDefault="007862A4">
      <w:pPr>
        <w:pStyle w:val="ListParagraph"/>
        <w:numPr>
          <w:ilvl w:val="0"/>
          <w:numId w:val="1"/>
        </w:numPr>
        <w:spacing w:after="0"/>
      </w:pPr>
      <w:r>
        <w:t xml:space="preserve">Repeat step #9 until a pH of about 3.5 is reached, then change to drop by drop increments and continue to collect data points. </w:t>
      </w:r>
      <w:r w:rsidR="00D57D65">
        <w:t xml:space="preserve">Take note of the point closest to where the phenolphthalein changes color. </w:t>
      </w:r>
      <w:r>
        <w:t xml:space="preserve">Once the titration curve begins to level off, resume </w:t>
      </w:r>
      <w:proofErr w:type="spellStart"/>
      <w:r>
        <w:t>titrant</w:t>
      </w:r>
      <w:proofErr w:type="spellEnd"/>
      <w:r>
        <w:t xml:space="preserve"> increments which raise the pH by about 0.15 units and collect 3 or 4 more data points to complete this curve.</w:t>
      </w:r>
    </w:p>
    <w:p w:rsidR="00D57D65" w:rsidRDefault="00D57D65">
      <w:pPr>
        <w:pStyle w:val="ListParagraph"/>
        <w:numPr>
          <w:ilvl w:val="0"/>
          <w:numId w:val="1"/>
        </w:numPr>
        <w:spacing w:after="0"/>
      </w:pPr>
      <w:r>
        <w:t xml:space="preserve">Format your graph (adjust window size accordingly, add a footer with your names, label the equivalence point, </w:t>
      </w:r>
      <w:proofErr w:type="spellStart"/>
      <w:r>
        <w:t>andpoint</w:t>
      </w:r>
      <w:proofErr w:type="spellEnd"/>
      <w:r>
        <w:t>, etc.,) and print it.</w:t>
      </w:r>
    </w:p>
    <w:p w:rsidR="007862A4" w:rsidRDefault="007862A4">
      <w:pPr>
        <w:pStyle w:val="ListParagraph"/>
        <w:numPr>
          <w:ilvl w:val="0"/>
          <w:numId w:val="1"/>
        </w:numPr>
        <w:spacing w:after="0"/>
      </w:pPr>
      <w:r>
        <w:t xml:space="preserve">Refill </w:t>
      </w:r>
      <w:r w:rsidR="0043115C">
        <w:t xml:space="preserve">(or drain) </w:t>
      </w:r>
      <w:r>
        <w:t xml:space="preserve">your </w:t>
      </w:r>
      <w:proofErr w:type="spellStart"/>
      <w:r>
        <w:t>buret</w:t>
      </w:r>
      <w:proofErr w:type="spellEnd"/>
      <w:r w:rsidR="0043115C">
        <w:t xml:space="preserve"> to an even 10.00 ml multiple </w:t>
      </w:r>
      <w:r w:rsidR="003C6AB8">
        <w:t>(0, 10, or 20, not 30 or more</w:t>
      </w:r>
      <w:r w:rsidR="0043115C">
        <w:t>) to begin the next titration.</w:t>
      </w:r>
    </w:p>
    <w:p w:rsidR="0043115C" w:rsidRDefault="0043115C">
      <w:pPr>
        <w:pStyle w:val="ListParagraph"/>
        <w:numPr>
          <w:ilvl w:val="0"/>
          <w:numId w:val="1"/>
        </w:numPr>
        <w:spacing w:after="0"/>
      </w:pPr>
      <w:r>
        <w:t xml:space="preserve">Repeat steps 1-10 using </w:t>
      </w:r>
      <w:proofErr w:type="gramStart"/>
      <w:r>
        <w:t>0.10M acetic acid</w:t>
      </w:r>
      <w:r w:rsidR="00A23A5A">
        <w:t xml:space="preserve"> (HC</w:t>
      </w:r>
      <w:r w:rsidR="00A23A5A" w:rsidRPr="00A23A5A">
        <w:rPr>
          <w:vertAlign w:val="subscript"/>
        </w:rPr>
        <w:t>2</w:t>
      </w:r>
      <w:r w:rsidR="00A23A5A">
        <w:t>H</w:t>
      </w:r>
      <w:r w:rsidR="00A23A5A" w:rsidRPr="00A23A5A">
        <w:rPr>
          <w:vertAlign w:val="subscript"/>
        </w:rPr>
        <w:t>3</w:t>
      </w:r>
      <w:r w:rsidR="00A23A5A">
        <w:t>O</w:t>
      </w:r>
      <w:r w:rsidR="00A23A5A" w:rsidRPr="00A23A5A">
        <w:rPr>
          <w:vertAlign w:val="subscript"/>
        </w:rPr>
        <w:t>2</w:t>
      </w:r>
      <w:r w:rsidR="00A23A5A">
        <w:t>)</w:t>
      </w:r>
      <w:r>
        <w:t xml:space="preserve"> in place of </w:t>
      </w:r>
      <w:proofErr w:type="spellStart"/>
      <w:r>
        <w:t>HCl</w:t>
      </w:r>
      <w:proofErr w:type="spellEnd"/>
      <w:r>
        <w:t xml:space="preserve"> as the </w:t>
      </w:r>
      <w:proofErr w:type="spellStart"/>
      <w:r>
        <w:t>analyte</w:t>
      </w:r>
      <w:proofErr w:type="spellEnd"/>
      <w:proofErr w:type="gramEnd"/>
      <w:r>
        <w:t>.</w:t>
      </w:r>
    </w:p>
    <w:p w:rsidR="00D57D65" w:rsidRDefault="0043115C">
      <w:pPr>
        <w:pStyle w:val="ListParagraph"/>
        <w:numPr>
          <w:ilvl w:val="0"/>
          <w:numId w:val="1"/>
        </w:numPr>
        <w:spacing w:after="0"/>
      </w:pPr>
      <w:r>
        <w:t xml:space="preserve">Empty your </w:t>
      </w:r>
      <w:proofErr w:type="spellStart"/>
      <w:r>
        <w:t>buret</w:t>
      </w:r>
      <w:proofErr w:type="spellEnd"/>
      <w:r w:rsidR="00D57D65">
        <w:t xml:space="preserve"> into the </w:t>
      </w:r>
      <w:r w:rsidR="00D57D65" w:rsidRPr="00D57D65">
        <w:rPr>
          <w:b/>
          <w:i/>
        </w:rPr>
        <w:t xml:space="preserve">reclaimed </w:t>
      </w:r>
      <w:proofErr w:type="spellStart"/>
      <w:r w:rsidR="00D57D65" w:rsidRPr="00D57D65">
        <w:rPr>
          <w:b/>
          <w:i/>
        </w:rPr>
        <w:t>titrant</w:t>
      </w:r>
      <w:proofErr w:type="spellEnd"/>
      <w:r w:rsidR="00D57D65">
        <w:t xml:space="preserve"> container provided by your instructor. </w:t>
      </w:r>
    </w:p>
    <w:p w:rsidR="0043115C" w:rsidRDefault="00D57D65">
      <w:pPr>
        <w:pStyle w:val="ListParagraph"/>
        <w:numPr>
          <w:ilvl w:val="0"/>
          <w:numId w:val="1"/>
        </w:numPr>
        <w:spacing w:after="0"/>
      </w:pPr>
      <w:r>
        <w:lastRenderedPageBreak/>
        <w:t xml:space="preserve">Rinse the </w:t>
      </w:r>
      <w:proofErr w:type="spellStart"/>
      <w:r>
        <w:t>buret</w:t>
      </w:r>
      <w:proofErr w:type="spellEnd"/>
      <w:r>
        <w:t xml:space="preserve"> with a small amount (about 5 </w:t>
      </w:r>
      <w:proofErr w:type="spellStart"/>
      <w:r>
        <w:t>mL</w:t>
      </w:r>
      <w:proofErr w:type="spellEnd"/>
      <w:r>
        <w:t>) of 0.10 M ammonia (NH</w:t>
      </w:r>
      <w:r w:rsidRPr="00A23A5A">
        <w:rPr>
          <w:vertAlign w:val="subscript"/>
        </w:rPr>
        <w:t>3</w:t>
      </w:r>
      <w:r>
        <w:t xml:space="preserve">) two times. When rinsing the </w:t>
      </w:r>
      <w:proofErr w:type="spellStart"/>
      <w:r>
        <w:t>buret</w:t>
      </w:r>
      <w:proofErr w:type="spellEnd"/>
      <w:r>
        <w:t xml:space="preserve">, be sure to run some of the rinsing solution through the spigot. Then refill the </w:t>
      </w:r>
      <w:proofErr w:type="spellStart"/>
      <w:r>
        <w:t>buret</w:t>
      </w:r>
      <w:proofErr w:type="spellEnd"/>
      <w:r>
        <w:t xml:space="preserve"> with the ammonia solution. R</w:t>
      </w:r>
      <w:r w:rsidR="0043115C">
        <w:t xml:space="preserve">emember to refill the tip of the </w:t>
      </w:r>
      <w:proofErr w:type="spellStart"/>
      <w:r w:rsidR="0043115C">
        <w:t>buret</w:t>
      </w:r>
      <w:proofErr w:type="spellEnd"/>
      <w:r w:rsidR="0043115C">
        <w:t xml:space="preserve"> by draining some </w:t>
      </w:r>
      <w:proofErr w:type="spellStart"/>
      <w:r w:rsidR="0043115C">
        <w:t>titrant</w:t>
      </w:r>
      <w:proofErr w:type="spellEnd"/>
      <w:r w:rsidR="00A23A5A">
        <w:t xml:space="preserve"> through it</w:t>
      </w:r>
      <w:r w:rsidR="0043115C">
        <w:t>.</w:t>
      </w:r>
    </w:p>
    <w:p w:rsidR="00D57D65" w:rsidRDefault="00A23A5A" w:rsidP="00832BB5">
      <w:pPr>
        <w:pStyle w:val="ListParagraph"/>
        <w:numPr>
          <w:ilvl w:val="0"/>
          <w:numId w:val="1"/>
        </w:numPr>
        <w:spacing w:after="0"/>
      </w:pPr>
      <w:r>
        <w:t xml:space="preserve">Using the same process as described above, generate titration curves using (a) ammonia as </w:t>
      </w:r>
      <w:proofErr w:type="spellStart"/>
      <w:r>
        <w:t>titrant</w:t>
      </w:r>
      <w:proofErr w:type="spellEnd"/>
      <w:r>
        <w:t xml:space="preserve"> and </w:t>
      </w:r>
      <w:proofErr w:type="spellStart"/>
      <w:r>
        <w:t>HCl</w:t>
      </w:r>
      <w:proofErr w:type="spellEnd"/>
      <w:r>
        <w:t xml:space="preserve"> as </w:t>
      </w:r>
      <w:proofErr w:type="spellStart"/>
      <w:r>
        <w:t>analyte</w:t>
      </w:r>
      <w:proofErr w:type="spellEnd"/>
      <w:r>
        <w:t xml:space="preserve">, and (b) ammonia as </w:t>
      </w:r>
      <w:proofErr w:type="spellStart"/>
      <w:r>
        <w:t>titrant</w:t>
      </w:r>
      <w:proofErr w:type="spellEnd"/>
      <w:r>
        <w:t xml:space="preserve"> and acetic acid as </w:t>
      </w:r>
      <w:proofErr w:type="spellStart"/>
      <w:r>
        <w:t>analyte</w:t>
      </w:r>
      <w:proofErr w:type="spellEnd"/>
      <w:r>
        <w:t>.</w:t>
      </w:r>
    </w:p>
    <w:p w:rsidR="00832BB5" w:rsidRDefault="00832BB5" w:rsidP="00832BB5">
      <w:pPr>
        <w:spacing w:after="0"/>
      </w:pPr>
    </w:p>
    <w:p w:rsidR="00832BB5" w:rsidRPr="00832BB5" w:rsidRDefault="00832BB5" w:rsidP="00832BB5">
      <w:pPr>
        <w:spacing w:after="0"/>
      </w:pPr>
      <w:r w:rsidRPr="00832BB5">
        <w:rPr>
          <w:b/>
          <w:i/>
        </w:rPr>
        <w:t>Data and Observations:</w:t>
      </w:r>
      <w:r>
        <w:t xml:space="preserve"> Experiment performed on __________________________.</w:t>
      </w:r>
    </w:p>
    <w:tbl>
      <w:tblPr>
        <w:tblStyle w:val="TableGrid"/>
        <w:tblW w:w="0" w:type="auto"/>
        <w:jc w:val="center"/>
        <w:tblLook w:val="04A0"/>
      </w:tblPr>
      <w:tblGrid>
        <w:gridCol w:w="2448"/>
        <w:gridCol w:w="1800"/>
        <w:gridCol w:w="1800"/>
        <w:gridCol w:w="1800"/>
        <w:gridCol w:w="1728"/>
      </w:tblGrid>
      <w:tr w:rsidR="00832BB5" w:rsidTr="00F171D6">
        <w:trPr>
          <w:trHeight w:hRule="exact" w:val="432"/>
          <w:jc w:val="center"/>
        </w:trPr>
        <w:tc>
          <w:tcPr>
            <w:tcW w:w="2448" w:type="dxa"/>
            <w:vAlign w:val="center"/>
          </w:tcPr>
          <w:p w:rsidR="00832BB5" w:rsidRDefault="00832BB5" w:rsidP="00832BB5"/>
        </w:tc>
        <w:tc>
          <w:tcPr>
            <w:tcW w:w="1800" w:type="dxa"/>
            <w:vAlign w:val="center"/>
          </w:tcPr>
          <w:p w:rsidR="00832BB5" w:rsidRDefault="00832BB5" w:rsidP="00832BB5">
            <w:pPr>
              <w:jc w:val="center"/>
            </w:pPr>
            <w:proofErr w:type="spellStart"/>
            <w:r>
              <w:t>NaOH</w:t>
            </w:r>
            <w:proofErr w:type="spellEnd"/>
            <w:r>
              <w:t xml:space="preserve"> &amp; </w:t>
            </w:r>
            <w:proofErr w:type="spellStart"/>
            <w:r>
              <w:t>HCl</w:t>
            </w:r>
            <w:proofErr w:type="spellEnd"/>
          </w:p>
        </w:tc>
        <w:tc>
          <w:tcPr>
            <w:tcW w:w="1800" w:type="dxa"/>
            <w:vAlign w:val="center"/>
          </w:tcPr>
          <w:p w:rsidR="00832BB5" w:rsidRDefault="00832BB5" w:rsidP="00832BB5">
            <w:pPr>
              <w:jc w:val="center"/>
            </w:pPr>
            <w:proofErr w:type="spellStart"/>
            <w:r>
              <w:t>NaOH</w:t>
            </w:r>
            <w:proofErr w:type="spellEnd"/>
            <w:r>
              <w:t xml:space="preserve"> &amp; HC</w:t>
            </w:r>
            <w:r w:rsidRPr="00832BB5">
              <w:rPr>
                <w:vertAlign w:val="subscript"/>
              </w:rPr>
              <w:t>2</w:t>
            </w:r>
            <w:r>
              <w:t>H</w:t>
            </w:r>
            <w:r w:rsidRPr="00832BB5">
              <w:rPr>
                <w:vertAlign w:val="subscript"/>
              </w:rPr>
              <w:t>3</w:t>
            </w:r>
            <w:r>
              <w:t>O</w:t>
            </w:r>
            <w:r w:rsidRPr="00832BB5">
              <w:rPr>
                <w:vertAlign w:val="subscript"/>
              </w:rPr>
              <w:t>2</w:t>
            </w:r>
          </w:p>
        </w:tc>
        <w:tc>
          <w:tcPr>
            <w:tcW w:w="1800" w:type="dxa"/>
            <w:vAlign w:val="center"/>
          </w:tcPr>
          <w:p w:rsidR="00832BB5" w:rsidRDefault="00832BB5" w:rsidP="00832BB5">
            <w:pPr>
              <w:jc w:val="center"/>
            </w:pPr>
            <w:r>
              <w:t>NH</w:t>
            </w:r>
            <w:r w:rsidRPr="00832BB5">
              <w:rPr>
                <w:vertAlign w:val="subscript"/>
              </w:rPr>
              <w:t>3</w:t>
            </w:r>
            <w:r>
              <w:t xml:space="preserve"> &amp; </w:t>
            </w:r>
            <w:proofErr w:type="spellStart"/>
            <w:r>
              <w:t>HCl</w:t>
            </w:r>
            <w:proofErr w:type="spellEnd"/>
          </w:p>
        </w:tc>
        <w:tc>
          <w:tcPr>
            <w:tcW w:w="1728" w:type="dxa"/>
            <w:vAlign w:val="center"/>
          </w:tcPr>
          <w:p w:rsidR="00832BB5" w:rsidRDefault="00832BB5" w:rsidP="00D81554">
            <w:pPr>
              <w:jc w:val="center"/>
            </w:pPr>
            <w:r>
              <w:t>NH</w:t>
            </w:r>
            <w:r w:rsidRPr="00832BB5">
              <w:rPr>
                <w:vertAlign w:val="subscript"/>
              </w:rPr>
              <w:t>3</w:t>
            </w:r>
            <w:r>
              <w:t xml:space="preserve"> &amp; HC</w:t>
            </w:r>
            <w:r w:rsidRPr="00832BB5">
              <w:rPr>
                <w:vertAlign w:val="subscript"/>
              </w:rPr>
              <w:t>2</w:t>
            </w:r>
            <w:r>
              <w:t>H</w:t>
            </w:r>
            <w:r w:rsidRPr="00832BB5">
              <w:rPr>
                <w:vertAlign w:val="subscript"/>
              </w:rPr>
              <w:t>3</w:t>
            </w:r>
            <w:r>
              <w:t>O</w:t>
            </w:r>
            <w:r w:rsidRPr="00832BB5">
              <w:rPr>
                <w:vertAlign w:val="subscript"/>
              </w:rPr>
              <w:t>2</w:t>
            </w:r>
          </w:p>
        </w:tc>
      </w:tr>
      <w:tr w:rsidR="00832BB5" w:rsidTr="00F171D6">
        <w:trPr>
          <w:trHeight w:hRule="exact" w:val="432"/>
          <w:jc w:val="center"/>
        </w:trPr>
        <w:tc>
          <w:tcPr>
            <w:tcW w:w="2448" w:type="dxa"/>
            <w:vAlign w:val="center"/>
          </w:tcPr>
          <w:p w:rsidR="00832BB5" w:rsidRDefault="00832BB5" w:rsidP="00832BB5">
            <w:r>
              <w:t xml:space="preserve">Volume of </w:t>
            </w:r>
            <w:proofErr w:type="spellStart"/>
            <w:r>
              <w:t>Analyte</w:t>
            </w:r>
            <w:proofErr w:type="spellEnd"/>
            <w:r>
              <w:t xml:space="preserve"> (</w:t>
            </w:r>
            <w:proofErr w:type="spellStart"/>
            <w:r>
              <w:t>mL</w:t>
            </w:r>
            <w:proofErr w:type="spellEnd"/>
            <w:r>
              <w:t>)</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r w:rsidR="00832BB5" w:rsidTr="00F171D6">
        <w:trPr>
          <w:trHeight w:hRule="exact" w:val="432"/>
          <w:jc w:val="center"/>
        </w:trPr>
        <w:tc>
          <w:tcPr>
            <w:tcW w:w="2448" w:type="dxa"/>
            <w:vAlign w:val="center"/>
          </w:tcPr>
          <w:p w:rsidR="00832BB5" w:rsidRDefault="00832BB5" w:rsidP="00832BB5">
            <w:r>
              <w:t xml:space="preserve">Initial </w:t>
            </w:r>
            <w:proofErr w:type="spellStart"/>
            <w:r>
              <w:t>Buret</w:t>
            </w:r>
            <w:proofErr w:type="spellEnd"/>
            <w:r>
              <w:t xml:space="preserve"> </w:t>
            </w:r>
            <w:proofErr w:type="spellStart"/>
            <w:r>
              <w:t>Vol</w:t>
            </w:r>
            <w:proofErr w:type="spellEnd"/>
            <w:r>
              <w:t xml:space="preserve"> (</w:t>
            </w:r>
            <w:proofErr w:type="spellStart"/>
            <w:r>
              <w:t>mL</w:t>
            </w:r>
            <w:proofErr w:type="spellEnd"/>
            <w:r>
              <w:t>)</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r w:rsidR="00832BB5" w:rsidTr="00F171D6">
        <w:trPr>
          <w:trHeight w:hRule="exact" w:val="432"/>
          <w:jc w:val="center"/>
        </w:trPr>
        <w:tc>
          <w:tcPr>
            <w:tcW w:w="2448" w:type="dxa"/>
            <w:vAlign w:val="center"/>
          </w:tcPr>
          <w:p w:rsidR="00832BB5" w:rsidRDefault="00832BB5" w:rsidP="00832BB5">
            <w:proofErr w:type="spellStart"/>
            <w:r>
              <w:t>Titrant</w:t>
            </w:r>
            <w:proofErr w:type="spellEnd"/>
            <w:r>
              <w:t xml:space="preserve"> </w:t>
            </w:r>
            <w:proofErr w:type="spellStart"/>
            <w:r>
              <w:t>Vol</w:t>
            </w:r>
            <w:proofErr w:type="spellEnd"/>
            <w:r>
              <w:t xml:space="preserve"> when pH=7</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r w:rsidR="003C6AB8" w:rsidTr="00F171D6">
        <w:trPr>
          <w:trHeight w:hRule="exact" w:val="432"/>
          <w:jc w:val="center"/>
        </w:trPr>
        <w:tc>
          <w:tcPr>
            <w:tcW w:w="2448" w:type="dxa"/>
            <w:vAlign w:val="center"/>
          </w:tcPr>
          <w:p w:rsidR="003C6AB8" w:rsidRDefault="003C6AB8" w:rsidP="00832BB5">
            <w:proofErr w:type="spellStart"/>
            <w:r>
              <w:t>Titrant</w:t>
            </w:r>
            <w:proofErr w:type="spellEnd"/>
            <w:r>
              <w:t xml:space="preserve"> </w:t>
            </w:r>
            <w:proofErr w:type="spellStart"/>
            <w:r>
              <w:t>Vol</w:t>
            </w:r>
            <w:proofErr w:type="spellEnd"/>
            <w:r>
              <w:t xml:space="preserve"> @ Equiv. Pt.</w:t>
            </w:r>
          </w:p>
        </w:tc>
        <w:tc>
          <w:tcPr>
            <w:tcW w:w="1800" w:type="dxa"/>
            <w:vAlign w:val="center"/>
          </w:tcPr>
          <w:p w:rsidR="003C6AB8" w:rsidRDefault="003C6AB8" w:rsidP="00832BB5">
            <w:pPr>
              <w:jc w:val="center"/>
            </w:pPr>
          </w:p>
        </w:tc>
        <w:tc>
          <w:tcPr>
            <w:tcW w:w="1800" w:type="dxa"/>
            <w:vAlign w:val="center"/>
          </w:tcPr>
          <w:p w:rsidR="003C6AB8" w:rsidRDefault="003C6AB8" w:rsidP="00832BB5">
            <w:pPr>
              <w:jc w:val="center"/>
            </w:pPr>
          </w:p>
        </w:tc>
        <w:tc>
          <w:tcPr>
            <w:tcW w:w="1800" w:type="dxa"/>
            <w:vAlign w:val="center"/>
          </w:tcPr>
          <w:p w:rsidR="003C6AB8" w:rsidRDefault="003C6AB8" w:rsidP="00832BB5">
            <w:pPr>
              <w:jc w:val="center"/>
            </w:pPr>
          </w:p>
        </w:tc>
        <w:tc>
          <w:tcPr>
            <w:tcW w:w="1728" w:type="dxa"/>
            <w:vAlign w:val="center"/>
          </w:tcPr>
          <w:p w:rsidR="003C6AB8" w:rsidRDefault="003C6AB8" w:rsidP="00832BB5">
            <w:pPr>
              <w:jc w:val="center"/>
            </w:pPr>
          </w:p>
        </w:tc>
      </w:tr>
      <w:tr w:rsidR="00832BB5" w:rsidTr="00F171D6">
        <w:trPr>
          <w:trHeight w:hRule="exact" w:val="432"/>
          <w:jc w:val="center"/>
        </w:trPr>
        <w:tc>
          <w:tcPr>
            <w:tcW w:w="2448" w:type="dxa"/>
            <w:vAlign w:val="center"/>
          </w:tcPr>
          <w:p w:rsidR="00832BB5" w:rsidRDefault="00832BB5" w:rsidP="00832BB5">
            <w:proofErr w:type="spellStart"/>
            <w:r>
              <w:t>Titrant</w:t>
            </w:r>
            <w:proofErr w:type="spellEnd"/>
            <w:r>
              <w:t xml:space="preserve"> </w:t>
            </w:r>
            <w:proofErr w:type="spellStart"/>
            <w:r>
              <w:t>Vol</w:t>
            </w:r>
            <w:proofErr w:type="spellEnd"/>
            <w:r>
              <w:t xml:space="preserve"> @ color chg</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r w:rsidR="003C6AB8" w:rsidTr="00F171D6">
        <w:trPr>
          <w:trHeight w:hRule="exact" w:val="432"/>
          <w:jc w:val="center"/>
        </w:trPr>
        <w:tc>
          <w:tcPr>
            <w:tcW w:w="2448" w:type="dxa"/>
            <w:vAlign w:val="center"/>
          </w:tcPr>
          <w:p w:rsidR="003C6AB8" w:rsidRDefault="003C6AB8" w:rsidP="00832BB5">
            <w:r>
              <w:t>pH @ color change</w:t>
            </w:r>
          </w:p>
        </w:tc>
        <w:tc>
          <w:tcPr>
            <w:tcW w:w="1800" w:type="dxa"/>
            <w:vAlign w:val="center"/>
          </w:tcPr>
          <w:p w:rsidR="003C6AB8" w:rsidRDefault="003C6AB8" w:rsidP="00832BB5">
            <w:pPr>
              <w:jc w:val="center"/>
            </w:pPr>
          </w:p>
        </w:tc>
        <w:tc>
          <w:tcPr>
            <w:tcW w:w="1800" w:type="dxa"/>
            <w:vAlign w:val="center"/>
          </w:tcPr>
          <w:p w:rsidR="003C6AB8" w:rsidRDefault="003C6AB8" w:rsidP="00832BB5">
            <w:pPr>
              <w:jc w:val="center"/>
            </w:pPr>
          </w:p>
        </w:tc>
        <w:tc>
          <w:tcPr>
            <w:tcW w:w="1800" w:type="dxa"/>
            <w:vAlign w:val="center"/>
          </w:tcPr>
          <w:p w:rsidR="003C6AB8" w:rsidRDefault="003C6AB8" w:rsidP="00832BB5">
            <w:pPr>
              <w:jc w:val="center"/>
            </w:pPr>
          </w:p>
        </w:tc>
        <w:tc>
          <w:tcPr>
            <w:tcW w:w="1728" w:type="dxa"/>
            <w:vAlign w:val="center"/>
          </w:tcPr>
          <w:p w:rsidR="003C6AB8" w:rsidRDefault="003C6AB8" w:rsidP="00832BB5">
            <w:pPr>
              <w:jc w:val="center"/>
            </w:pPr>
          </w:p>
        </w:tc>
      </w:tr>
      <w:tr w:rsidR="00832BB5" w:rsidTr="00F171D6">
        <w:trPr>
          <w:trHeight w:hRule="exact" w:val="432"/>
          <w:jc w:val="center"/>
        </w:trPr>
        <w:tc>
          <w:tcPr>
            <w:tcW w:w="2448" w:type="dxa"/>
            <w:vAlign w:val="center"/>
          </w:tcPr>
          <w:p w:rsidR="00832BB5" w:rsidRDefault="00F171D6" w:rsidP="00832BB5">
            <w:r>
              <w:t>Describe Color</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r w:rsidR="00832BB5" w:rsidTr="00F171D6">
        <w:trPr>
          <w:trHeight w:hRule="exact" w:val="432"/>
          <w:jc w:val="center"/>
        </w:trPr>
        <w:tc>
          <w:tcPr>
            <w:tcW w:w="2448" w:type="dxa"/>
            <w:vAlign w:val="center"/>
          </w:tcPr>
          <w:p w:rsidR="00832BB5" w:rsidRDefault="00F171D6" w:rsidP="00832BB5">
            <w:r>
              <w:t xml:space="preserve">Final </w:t>
            </w:r>
            <w:proofErr w:type="spellStart"/>
            <w:r>
              <w:t>Buret</w:t>
            </w:r>
            <w:proofErr w:type="spellEnd"/>
            <w:r>
              <w:t xml:space="preserve"> </w:t>
            </w:r>
            <w:proofErr w:type="spellStart"/>
            <w:r>
              <w:t>Vol</w:t>
            </w:r>
            <w:proofErr w:type="spellEnd"/>
            <w:r>
              <w:t xml:space="preserve"> (</w:t>
            </w:r>
            <w:proofErr w:type="spellStart"/>
            <w:r>
              <w:t>mL</w:t>
            </w:r>
            <w:proofErr w:type="spellEnd"/>
            <w:r>
              <w:t>)</w:t>
            </w: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800" w:type="dxa"/>
            <w:vAlign w:val="center"/>
          </w:tcPr>
          <w:p w:rsidR="00832BB5" w:rsidRDefault="00832BB5" w:rsidP="00832BB5">
            <w:pPr>
              <w:jc w:val="center"/>
            </w:pPr>
          </w:p>
        </w:tc>
        <w:tc>
          <w:tcPr>
            <w:tcW w:w="1728" w:type="dxa"/>
            <w:vAlign w:val="center"/>
          </w:tcPr>
          <w:p w:rsidR="00832BB5" w:rsidRDefault="00832BB5" w:rsidP="00832BB5">
            <w:pPr>
              <w:jc w:val="center"/>
            </w:pPr>
          </w:p>
        </w:tc>
      </w:tr>
    </w:tbl>
    <w:p w:rsidR="00832BB5" w:rsidRDefault="00832BB5" w:rsidP="00832BB5">
      <w:pPr>
        <w:spacing w:after="0"/>
      </w:pPr>
    </w:p>
    <w:p w:rsidR="00F171D6" w:rsidRDefault="00F171D6" w:rsidP="00832BB5">
      <w:pPr>
        <w:spacing w:after="0"/>
      </w:pPr>
      <w:r>
        <w:t>Questions:</w:t>
      </w:r>
    </w:p>
    <w:p w:rsidR="00F171D6" w:rsidRDefault="00F171D6" w:rsidP="00F171D6">
      <w:pPr>
        <w:pStyle w:val="ListParagraph"/>
        <w:numPr>
          <w:ilvl w:val="0"/>
          <w:numId w:val="2"/>
        </w:numPr>
        <w:spacing w:after="0"/>
      </w:pPr>
      <w:r>
        <w:t>Label the titration curves below as to which one you think best represents a strong acid-strong base titration, which best represents a weak acid-strong base titration, which is strong-weak and which is weak-weak.</w:t>
      </w:r>
    </w:p>
    <w:p w:rsidR="00263CA3" w:rsidRDefault="003C6AB8" w:rsidP="00263CA3">
      <w:pPr>
        <w:spacing w:after="0"/>
      </w:pPr>
      <w:r>
        <w:rPr>
          <w:noProof/>
        </w:rPr>
        <w:pict>
          <v:shapetype id="_x0000_t32" coordsize="21600,21600" o:spt="32" o:oned="t" path="m,l21600,21600e" filled="f">
            <v:path arrowok="t" fillok="f" o:connecttype="none"/>
            <o:lock v:ext="edit" shapetype="t"/>
          </v:shapetype>
          <v:shape id="_x0000_s1041" type="#_x0000_t32" style="position:absolute;margin-left:338.25pt;margin-top:13.25pt;width:31.5pt;height:2.25pt;flip:y;z-index:251672576" o:connectortype="straight"/>
        </w:pict>
      </w:r>
      <w:r>
        <w:rPr>
          <w:noProof/>
        </w:rPr>
        <w:pict>
          <v:rect id="_x0000_s1045" style="position:absolute;margin-left:420pt;margin-top:7.25pt;width:86.25pt;height:74.3pt;z-index:251676672"/>
        </w:pict>
      </w:r>
      <w:r>
        <w:rPr>
          <w:noProof/>
        </w:rPr>
        <w:pict>
          <v:rect id="_x0000_s1026" style="position:absolute;margin-left:5.25pt;margin-top:7.25pt;width:86.25pt;height:74.3pt;z-index:251658240"/>
        </w:pict>
      </w:r>
      <w:r>
        <w:rPr>
          <w:noProof/>
        </w:rPr>
        <w:pict>
          <v:rect id="_x0000_s1033" style="position:absolute;margin-left:144.75pt;margin-top:7.25pt;width:86.25pt;height:74.3pt;z-index:251664384"/>
        </w:pict>
      </w:r>
      <w:r>
        <w:rPr>
          <w:noProof/>
        </w:rPr>
        <w:pict>
          <v:rect id="_x0000_s1039" style="position:absolute;margin-left:283.5pt;margin-top:7.25pt;width:86.25pt;height:74.3pt;z-index:251670528"/>
        </w:pict>
      </w:r>
    </w:p>
    <w:p w:rsidR="00263CA3" w:rsidRDefault="003C6AB8" w:rsidP="00263CA3">
      <w:pPr>
        <w:spacing w:after="0"/>
      </w:pPr>
      <w:r>
        <w:rPr>
          <w:noProof/>
        </w:rPr>
        <w:pict>
          <v:shape id="_x0000_s1042" type="#_x0000_t32" style="position:absolute;margin-left:329.25pt;margin-top:11.3pt;width:0;height:30.75pt;z-index:251673600" o:connectortype="straigh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margin-left:329.25pt;margin-top:.05pt;width:15pt;height:11.25pt;flip:x;z-index:251675648" coordsize="21600,19446" adj="-4206915,,,19446" path="wr-21600,-2154,21600,41046,9404,,21600,19446nfewr-21600,-2154,21600,41046,9404,,21600,19446l,19446nsxe">
            <v:path o:connectlocs="9404,0;21600,19446;0,19446"/>
          </v:shape>
        </w:pict>
      </w:r>
      <w:r>
        <w:rPr>
          <w:noProof/>
        </w:rPr>
        <w:pict>
          <v:shape id="_x0000_s1043" type="#_x0000_t19" style="position:absolute;margin-left:321pt;margin-top:42.8pt;width:8.25pt;height:12pt;flip:y;z-index:251674624"/>
        </w:pict>
      </w:r>
      <w:r>
        <w:rPr>
          <w:noProof/>
        </w:rPr>
        <w:pict>
          <v:shape id="_x0000_s1046" type="#_x0000_t32" style="position:absolute;margin-left:415.5pt;margin-top:54.8pt;width:42pt;height:3pt;flip:y;z-index:251677696" o:connectortype="straight"/>
        </w:pict>
      </w:r>
      <w:r>
        <w:rPr>
          <w:noProof/>
        </w:rPr>
        <w:pict>
          <v:shape id="_x0000_s1049" type="#_x0000_t19" style="position:absolute;margin-left:457.5pt;margin-top:42.8pt;width:8.25pt;height:12pt;flip:y;z-index:251680768"/>
        </w:pict>
      </w:r>
      <w:r>
        <w:rPr>
          <w:noProof/>
        </w:rPr>
        <w:pict>
          <v:shape id="_x0000_s1047" type="#_x0000_t32" style="position:absolute;margin-left:474.75pt;margin-top:5.3pt;width:41.25pt;height:16.5pt;flip:y;z-index:251678720" o:connectortype="straight"/>
        </w:pict>
      </w:r>
      <w:r>
        <w:rPr>
          <w:noProof/>
        </w:rPr>
        <w:pict>
          <v:shape id="_x0000_s1040" type="#_x0000_t32" style="position:absolute;margin-left:279pt;margin-top:54.8pt;width:42pt;height:3pt;flip:y;z-index:251671552" o:connectortype="straight"/>
        </w:pict>
      </w:r>
      <w:r w:rsidR="00CC0065">
        <w:rPr>
          <w:noProof/>
        </w:rPr>
        <w:pict>
          <v:shape id="_x0000_s1052" type="#_x0000_t19" style="position:absolute;margin-left:97.5pt;margin-top:8.3pt;width:8.25pt;height:12pt;flip:y;z-index:251683840" coordsize="18274,21600" adj=",-2111582" path="wr-21600,,21600,43200,,,18274,10083nfewr-21600,,21600,43200,,,18274,10083l,21600nsxe">
            <v:path o:connectlocs="0,0;18274,10083;0,21600"/>
          </v:shape>
        </w:pict>
      </w:r>
      <w:r w:rsidR="00CC0065">
        <w:rPr>
          <w:noProof/>
        </w:rPr>
        <w:pict>
          <v:shape id="_x0000_s1038" type="#_x0000_t19" style="position:absolute;margin-left:195pt;margin-top:8.3pt;width:15pt;height:11.25pt;flip:x;z-index:251669504" coordsize="21600,19446" adj="-4206915,,,19446" path="wr-21600,-2154,21600,41046,9404,,21600,19446nfewr-21600,-2154,21600,41046,9404,,21600,19446l,19446nsxe">
            <v:path o:connectlocs="9404,0;21600,19446;0,19446"/>
          </v:shape>
        </w:pict>
      </w:r>
      <w:r w:rsidR="00CC0065">
        <w:rPr>
          <w:noProof/>
        </w:rPr>
        <w:pict>
          <v:shape id="_x0000_s1035" type="#_x0000_t32" style="position:absolute;margin-left:204pt;margin-top:6.05pt;width:41.25pt;height:2.25pt;flip:y;z-index:251666432" o:connectortype="straight"/>
        </w:pict>
      </w:r>
    </w:p>
    <w:p w:rsidR="00263CA3" w:rsidRDefault="00CC0065" w:rsidP="00263CA3">
      <w:pPr>
        <w:spacing w:after="0"/>
      </w:pPr>
      <w:r>
        <w:rPr>
          <w:noProof/>
        </w:rPr>
        <w:pict>
          <v:shape id="_x0000_s1050" type="#_x0000_t19" style="position:absolute;margin-left:465.75pt;margin-top:6.35pt;width:15pt;height:11.25pt;flip:x;z-index:251681792" coordsize="21600,19446" adj="-4206915,,,19446" path="wr-21600,-2154,21600,41046,9404,,21600,19446nfewr-21600,-2154,21600,41046,9404,,21600,19446l,19446nsxe">
            <v:path o:connectlocs="9404,0;21600,19446;0,19446"/>
          </v:shape>
        </w:pict>
      </w:r>
      <w:r>
        <w:rPr>
          <w:noProof/>
        </w:rPr>
        <w:pict>
          <v:shape id="_x0000_s1028" type="#_x0000_t32" style="position:absolute;margin-left:64.5pt;margin-top:4.85pt;width:33pt;height:4.5pt;flip:y;z-index:251660288" o:connectortype="straight"/>
        </w:pict>
      </w:r>
      <w:r>
        <w:rPr>
          <w:noProof/>
        </w:rPr>
        <w:pict>
          <v:shape id="_x0000_s1031" type="#_x0000_t19" style="position:absolute;margin-left:55.5pt;margin-top:9.35pt;width:15pt;height:11.25pt;flip:x;z-index:251663360" coordsize="21600,19446" adj="-4206915,,,19446" path="wr-21600,-2154,21600,41046,9404,,21600,19446nfewr-21600,-2154,21600,41046,9404,,21600,19446l,19446nsxe">
            <v:path o:connectlocs="9404,0;21600,19446;0,19446"/>
          </v:shape>
        </w:pict>
      </w:r>
      <w:r>
        <w:rPr>
          <w:noProof/>
        </w:rPr>
        <w:pict>
          <v:shape id="_x0000_s1036" type="#_x0000_t32" style="position:absolute;margin-left:195pt;margin-top:4.1pt;width:.05pt;height:16.5pt;z-index:251667456" o:connectortype="straight"/>
        </w:pict>
      </w:r>
    </w:p>
    <w:p w:rsidR="00263CA3" w:rsidRDefault="00CC0065" w:rsidP="00263CA3">
      <w:pPr>
        <w:spacing w:after="0"/>
      </w:pPr>
      <w:r>
        <w:rPr>
          <w:noProof/>
        </w:rPr>
        <w:pict>
          <v:shape id="_x0000_s1048" type="#_x0000_t32" style="position:absolute;margin-left:470.25pt;margin-top:11.9pt;width:.05pt;height:8.25pt;z-index:251679744" o:connectortype="straight"/>
        </w:pict>
      </w:r>
      <w:r>
        <w:rPr>
          <w:noProof/>
        </w:rPr>
        <w:pict>
          <v:shape id="_x0000_s1030" type="#_x0000_t19" style="position:absolute;margin-left:47.25pt;margin-top:5.9pt;width:8.25pt;height:12pt;flip:y;z-index:251662336"/>
        </w:pict>
      </w:r>
      <w:r>
        <w:rPr>
          <w:noProof/>
        </w:rPr>
        <w:pict>
          <v:shape id="_x0000_s1037" type="#_x0000_t19" style="position:absolute;margin-left:186.75pt;margin-top:7.4pt;width:8.25pt;height:12pt;flip:y;z-index:251668480"/>
        </w:pict>
      </w:r>
    </w:p>
    <w:p w:rsidR="00263CA3" w:rsidRDefault="00CC0065" w:rsidP="00263CA3">
      <w:pPr>
        <w:spacing w:after="0"/>
      </w:pPr>
      <w:r>
        <w:rPr>
          <w:noProof/>
        </w:rPr>
        <w:pict>
          <v:shape id="_x0000_s1051" type="#_x0000_t19" style="position:absolute;margin-left:5.25pt;margin-top:8.55pt;width:19.5pt;height:8.2pt;flip:x;z-index:251682816" coordsize="18520,19446" adj="-4206915,-2029822,,19446" path="wr-21600,-2154,21600,41046,9404,,18520,8330nfewr-21600,-2154,21600,41046,9404,,18520,8330l,19446nsxe">
            <v:path o:connectlocs="9404,0;18520,8330;0,19446"/>
          </v:shape>
        </w:pict>
      </w:r>
      <w:r>
        <w:rPr>
          <w:noProof/>
        </w:rPr>
        <w:pict>
          <v:shape id="_x0000_s1027" type="#_x0000_t32" style="position:absolute;margin-left:16.5pt;margin-top:2.5pt;width:34.5pt;height:6pt;flip:y;z-index:251659264" o:connectortype="straight"/>
        </w:pict>
      </w:r>
      <w:r>
        <w:rPr>
          <w:noProof/>
        </w:rPr>
        <w:pict>
          <v:shape id="_x0000_s1034" type="#_x0000_t32" style="position:absolute;margin-left:144.75pt;margin-top:4.75pt;width:42pt;height:15pt;flip:y;z-index:251665408" o:connectortype="straight"/>
        </w:pict>
      </w:r>
    </w:p>
    <w:p w:rsidR="00263CA3" w:rsidRDefault="00263CA3" w:rsidP="00263CA3">
      <w:pPr>
        <w:spacing w:after="0"/>
      </w:pPr>
    </w:p>
    <w:p w:rsidR="00263CA3" w:rsidRDefault="00263CA3" w:rsidP="00263CA3">
      <w:pPr>
        <w:spacing w:after="0"/>
      </w:pPr>
    </w:p>
    <w:p w:rsidR="00F171D6" w:rsidRDefault="00F171D6" w:rsidP="00F171D6">
      <w:pPr>
        <w:pStyle w:val="ListParagraph"/>
        <w:numPr>
          <w:ilvl w:val="0"/>
          <w:numId w:val="2"/>
        </w:numPr>
        <w:spacing w:after="0"/>
      </w:pPr>
      <w:r>
        <w:t xml:space="preserve">What is the </w:t>
      </w:r>
      <w:r w:rsidRPr="00F171D6">
        <w:rPr>
          <w:b/>
          <w:i/>
        </w:rPr>
        <w:t>theoretical</w:t>
      </w:r>
      <w:r>
        <w:t xml:space="preserve"> difference between the equivalence point and the endpoint? Would you be able to distinguish between them if you were titrating with phenolphthalein, but without a pH probe? Would you be able to distinguish between them with a probe, but no phenolphthalein? What was the difference in volume (generally speaking) between your equivalence points and your endpoints?</w:t>
      </w:r>
    </w:p>
    <w:p w:rsidR="00F171D6" w:rsidRDefault="00A73D45" w:rsidP="00F171D6">
      <w:pPr>
        <w:pStyle w:val="ListParagraph"/>
        <w:numPr>
          <w:ilvl w:val="0"/>
          <w:numId w:val="2"/>
        </w:numPr>
        <w:spacing w:after="0"/>
      </w:pPr>
      <w:r>
        <w:t>Since the color change observed with phenolphthalein occurs at a pH of about 9, for which combination of strong and weak is it most appropriate to use phenolphthalein to approximate an equivalence point?</w:t>
      </w:r>
    </w:p>
    <w:p w:rsidR="00A73D45" w:rsidRDefault="00A73D45" w:rsidP="00F171D6">
      <w:pPr>
        <w:pStyle w:val="ListParagraph"/>
        <w:numPr>
          <w:ilvl w:val="0"/>
          <w:numId w:val="2"/>
        </w:numPr>
        <w:spacing w:after="0"/>
      </w:pPr>
      <w:r>
        <w:t>Science teachers often say that phenolphthalein is clear in acid or neutral solution and pink in a base. Is this oversimplification of the truth a major or minor oversimplification? Justify your answer by referring to the difference in volume that this can make in a particular kind of titration.</w:t>
      </w:r>
    </w:p>
    <w:p w:rsidR="00A73D45" w:rsidRDefault="00A73D45" w:rsidP="00F171D6">
      <w:pPr>
        <w:pStyle w:val="ListParagraph"/>
        <w:numPr>
          <w:ilvl w:val="0"/>
          <w:numId w:val="2"/>
        </w:numPr>
        <w:spacing w:after="0"/>
      </w:pPr>
      <w:r>
        <w:t>If the equivalence point is considered the center of the near vertical portion of the titration curve, do all of your equivalence points occur at the same pH?</w:t>
      </w:r>
    </w:p>
    <w:p w:rsidR="00A73D45" w:rsidRDefault="00A73D45" w:rsidP="00F171D6">
      <w:pPr>
        <w:pStyle w:val="ListParagraph"/>
        <w:numPr>
          <w:ilvl w:val="0"/>
          <w:numId w:val="2"/>
        </w:numPr>
        <w:spacing w:after="0"/>
      </w:pPr>
      <w:r>
        <w:t>Describe the different appearances of the four types of titration curves including the length of the vertical portion, the slopes of the beginning and ending portions, the appearance of the inflection points, etc.,</w:t>
      </w:r>
    </w:p>
    <w:p w:rsidR="00263CA3" w:rsidRDefault="00263CA3" w:rsidP="00F171D6">
      <w:pPr>
        <w:pStyle w:val="ListParagraph"/>
        <w:numPr>
          <w:ilvl w:val="0"/>
          <w:numId w:val="2"/>
        </w:numPr>
        <w:spacing w:after="0"/>
      </w:pPr>
      <w:r>
        <w:t>Write the equilibrium expressions for each of the four compounds used in this lab (not including phenolphthalein) and look up the K</w:t>
      </w:r>
      <w:r w:rsidRPr="00263CA3">
        <w:rPr>
          <w:vertAlign w:val="subscript"/>
        </w:rPr>
        <w:t>a</w:t>
      </w:r>
      <w:r>
        <w:t xml:space="preserve"> values of the acids and the K</w:t>
      </w:r>
      <w:r w:rsidRPr="00263CA3">
        <w:rPr>
          <w:vertAlign w:val="subscript"/>
        </w:rPr>
        <w:t>b</w:t>
      </w:r>
      <w:r>
        <w:t xml:space="preserve"> values of the bases. What general statements </w:t>
      </w:r>
      <w:r>
        <w:lastRenderedPageBreak/>
        <w:t xml:space="preserve">can you make regarding the extent of each reaction, the size of the equilibrium constant, and how these relate to acid-base </w:t>
      </w:r>
      <w:proofErr w:type="gramStart"/>
      <w:r>
        <w:t>strength.</w:t>
      </w:r>
      <w:proofErr w:type="gramEnd"/>
    </w:p>
    <w:sectPr w:rsidR="00263CA3" w:rsidSect="00F171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3D2F"/>
    <w:multiLevelType w:val="hybridMultilevel"/>
    <w:tmpl w:val="0ED8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D4F0B"/>
    <w:multiLevelType w:val="hybridMultilevel"/>
    <w:tmpl w:val="42AE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92CB7"/>
    <w:rsid w:val="0007162D"/>
    <w:rsid w:val="0017435F"/>
    <w:rsid w:val="00263CA3"/>
    <w:rsid w:val="003C6AB8"/>
    <w:rsid w:val="0043115C"/>
    <w:rsid w:val="00670BB5"/>
    <w:rsid w:val="00775973"/>
    <w:rsid w:val="007862A4"/>
    <w:rsid w:val="00832BB5"/>
    <w:rsid w:val="009957F5"/>
    <w:rsid w:val="00A23A5A"/>
    <w:rsid w:val="00A73D45"/>
    <w:rsid w:val="00AF5743"/>
    <w:rsid w:val="00B13FA5"/>
    <w:rsid w:val="00CC0065"/>
    <w:rsid w:val="00D57D65"/>
    <w:rsid w:val="00F171D6"/>
    <w:rsid w:val="00F92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2" type="arc" idref="#_x0000_s1052"/>
        <o:r id="V:Rule3" type="arc" idref="#_x0000_s1038"/>
        <o:r id="V:Rule6" type="arc" idref="#_x0000_s1044"/>
        <o:r id="V:Rule7" type="arc" idref="#_x0000_s1043"/>
        <o:r id="V:Rule11" type="arc" idref="#_x0000_s1049"/>
        <o:r id="V:Rule12" type="arc" idref="#_x0000_s1050"/>
        <o:r id="V:Rule14" type="arc" idref="#_x0000_s1031"/>
        <o:r id="V:Rule17" type="arc" idref="#_x0000_s1030"/>
        <o:r id="V:Rule18" type="arc" idref="#_x0000_s1037"/>
        <o:r id="V:Rule19" type="arc" idref="#_x0000_s1051"/>
        <o:r id="V:Rule22" type="connector" idref="#_x0000_s1027"/>
        <o:r id="V:Rule23" type="connector" idref="#_x0000_s1042"/>
        <o:r id="V:Rule24" type="connector" idref="#_x0000_s1028"/>
        <o:r id="V:Rule25" type="connector" idref="#_x0000_s1046"/>
        <o:r id="V:Rule26" type="connector" idref="#_x0000_s1034"/>
        <o:r id="V:Rule27" type="connector" idref="#_x0000_s1047"/>
        <o:r id="V:Rule28" type="connector" idref="#_x0000_s1036"/>
        <o:r id="V:Rule29" type="connector" idref="#_x0000_s1035"/>
        <o:r id="V:Rule30" type="connector" idref="#_x0000_s1048"/>
        <o:r id="V:Rule31" type="connector" idref="#_x0000_s1041"/>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CB7"/>
    <w:pPr>
      <w:ind w:left="720"/>
      <w:contextualSpacing/>
    </w:pPr>
  </w:style>
  <w:style w:type="table" w:styleId="TableGrid">
    <w:name w:val="Table Grid"/>
    <w:basedOn w:val="TableNormal"/>
    <w:uiPriority w:val="59"/>
    <w:rsid w:val="00832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staff</cp:lastModifiedBy>
  <cp:revision>2</cp:revision>
  <dcterms:created xsi:type="dcterms:W3CDTF">2015-04-29T12:45:00Z</dcterms:created>
  <dcterms:modified xsi:type="dcterms:W3CDTF">2018-05-23T14:07:00Z</dcterms:modified>
</cp:coreProperties>
</file>